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1"/>
        <w:spacing w:lineRule="auto" w:line="240"/>
        <w:ind w:hanging="0"/>
        <w:jc w:val="center"/>
        <w:rPr/>
      </w:pPr>
      <w:r>
        <w:rPr>
          <w:szCs w:val="24"/>
        </w:rPr>
        <w:t xml:space="preserve">Бюджетное учреждение Республики Алтай </w:t>
      </w:r>
    </w:p>
    <w:p>
      <w:pPr>
        <w:pStyle w:val="21"/>
        <w:spacing w:lineRule="auto" w:line="240"/>
        <w:ind w:hanging="0"/>
        <w:jc w:val="center"/>
        <w:rPr/>
      </w:pPr>
      <w:r>
        <w:rPr>
          <w:szCs w:val="24"/>
        </w:rPr>
        <w:t xml:space="preserve">для детей, нуждающихся в </w:t>
      </w:r>
      <w:r>
        <w:rPr>
          <w:bCs/>
        </w:rPr>
        <w:t>психолого</w:t>
      </w:r>
      <w:r>
        <w:rPr/>
        <w:t xml:space="preserve">-педагогической и </w:t>
      </w:r>
      <w:r>
        <w:rPr>
          <w:bCs/>
        </w:rPr>
        <w:t>медико</w:t>
      </w:r>
      <w:r>
        <w:rPr/>
        <w:t>-социальной</w:t>
      </w:r>
    </w:p>
    <w:p>
      <w:pPr>
        <w:pStyle w:val="21"/>
        <w:spacing w:lineRule="auto" w:line="240"/>
        <w:ind w:hanging="0"/>
        <w:jc w:val="center"/>
        <w:rPr>
          <w:szCs w:val="24"/>
        </w:rPr>
      </w:pPr>
      <w:r>
        <w:rPr/>
        <w:t xml:space="preserve">помощи </w:t>
      </w:r>
      <w:r>
        <w:rPr>
          <w:szCs w:val="24"/>
        </w:rPr>
        <w:t>«Центр психолого-медико-социального сопровождения»</w:t>
      </w:r>
    </w:p>
    <w:p>
      <w:pPr>
        <w:pStyle w:val="21"/>
        <w:spacing w:lineRule="auto" w:line="240"/>
        <w:ind w:hanging="0"/>
        <w:jc w:val="center"/>
        <w:rPr>
          <w:szCs w:val="24"/>
        </w:rPr>
      </w:pPr>
      <w:r>
        <w:rPr>
          <w:szCs w:val="24"/>
        </w:rPr>
      </w:r>
    </w:p>
    <w:tbl>
      <w:tblPr>
        <w:tblW w:w="10609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6597"/>
        <w:gridCol w:w="4011"/>
      </w:tblGrid>
      <w:tr>
        <w:trPr>
          <w:trHeight w:val="1560" w:hRule="atLeast"/>
        </w:trPr>
        <w:tc>
          <w:tcPr>
            <w:tcW w:w="6597" w:type="dxa"/>
            <w:tcBorders/>
            <w:shd w:fill="auto" w:val="clear"/>
          </w:tcPr>
          <w:p>
            <w:pPr>
              <w:pStyle w:val="Iauiue"/>
              <w:widowControl w:val="false"/>
              <w:snapToGrid w:val="false"/>
              <w:ind w:righ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1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УТВЕРЖДАЮ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Врио директора БУ РА «Центр ПМСС»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</w:rPr>
              <w:t>_________________  Н.Н. Кащеева</w:t>
            </w:r>
          </w:p>
          <w:p>
            <w:pPr>
              <w:pStyle w:val="Iauiue"/>
              <w:widowControl w:val="false"/>
              <w:snapToGrid w:val="false"/>
              <w:spacing w:lineRule="auto" w:line="240"/>
              <w:ind w:right="0" w:hanging="0"/>
              <w:rPr/>
            </w:pP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</w:rPr>
              <w:t>«____» _________  201__ г. №____</w:t>
            </w:r>
          </w:p>
        </w:tc>
      </w:tr>
    </w:tbl>
    <w:p>
      <w:pPr>
        <w:pStyle w:val="Normal"/>
        <w:spacing w:lineRule="auto" w:line="240" w:before="0" w:after="0"/>
        <w:contextualSpacing/>
        <w:rPr>
          <w:rFonts w:ascii="Times New Roman" w:hAnsi="Times New Roman"/>
          <w:b/>
          <w:b/>
          <w:sz w:val="28"/>
          <w:szCs w:val="28"/>
        </w:rPr>
      </w:pPr>
      <w:bookmarkStart w:id="1" w:name="bookmark0"/>
      <w:bookmarkStart w:id="2" w:name="bookmark0"/>
      <w:bookmarkEnd w:id="2"/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contextualSpacing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и основания перевода, отчисления </w:t>
      </w:r>
    </w:p>
    <w:p>
      <w:pPr>
        <w:pStyle w:val="Normal"/>
        <w:spacing w:lineRule="auto" w:line="240" w:before="0" w:after="0"/>
        <w:ind w:firstLine="567"/>
        <w:contextualSpacing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восстановления слушателей</w:t>
      </w:r>
    </w:p>
    <w:p>
      <w:pPr>
        <w:pStyle w:val="Normal"/>
        <w:spacing w:before="0" w:after="200"/>
        <w:contextualSpacing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0" w:after="200"/>
        <w:ind w:firstLine="567"/>
        <w:contextualSpacing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>
      <w:pPr>
        <w:pStyle w:val="Normal"/>
        <w:spacing w:lineRule="auto" w:line="240" w:before="0" w:after="0"/>
        <w:ind w:firstLine="567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1.1. Настоящие Порядок и основания регламентируют порядок перевода, отчисления и восстановления слушателей </w:t>
      </w:r>
      <w:bookmarkStart w:id="3" w:name="__DdeLink__6026_100462992"/>
      <w:r>
        <w:rPr>
          <w:rFonts w:ascii="Times New Roman" w:hAnsi="Times New Roman"/>
          <w:sz w:val="28"/>
          <w:szCs w:val="28"/>
        </w:rPr>
        <w:t>бюджетного учреждения Республики Алтай</w:t>
      </w:r>
      <w:bookmarkEnd w:id="3"/>
      <w:r>
        <w:rPr>
          <w:rFonts w:ascii="Times New Roman" w:hAnsi="Times New Roman"/>
          <w:sz w:val="28"/>
          <w:szCs w:val="28"/>
        </w:rPr>
        <w:t xml:space="preserve"> «Центр психолого-медико-социального сопровождения» (далее - «Порядок и основания»), в том числе изменение образовательных отношений.</w:t>
      </w:r>
    </w:p>
    <w:p>
      <w:pPr>
        <w:pStyle w:val="Normal"/>
        <w:spacing w:lineRule="auto" w:line="240" w:before="0" w:after="0"/>
        <w:ind w:firstLine="567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1.2. Порядок разработан в соответствии с Федеральным Законом Российской Федерации от 29 декабря 2012 года № 273-ФЗ «Об образовании в Российской Федерации», приказом Министерства образования и науки Российской Федерации от 1 июля 2013 года № 499 «Об утверждении Порядка организации и осуществления образовательной деятельности по дополнительным профессиональным программам», Уставом и локальными актами бюджетного учреждения Республики Алтай «Центр психолого-медико-социального сопровождения», также иных законодательных актов Российской Федерации (далее – Центр).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contextualSpacing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/>
          <w:b/>
          <w:sz w:val="28"/>
          <w:szCs w:val="28"/>
        </w:rPr>
        <w:t>. Изменение образовательных отношений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Образовательные отношения изменяются в случае изменения условий обучения по дополнительной профессиональной программе (программе повышения квалификации), повлекших за собой изменение взаимных прав и обязанностей слушателей Центра, а также иных законодательных актов Российской Федерации.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Образовательные отношения могут быть изменены как по инициативе слушателя по его заявлению в письменной форме, так и по инициативе директора Центра (лица его замещающего).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Основанием для изменения образовательных отношений является приказ директора Центра, либо лица его замещающего. В случае, если со слушателем заключен договор об образовании, приказ издается на основании внесения соответствующих изменений в указанный договор.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Права и обязанности слушателя, предусмотренные законодательством и локальными нормативными актами Центра, изменяются с даты издания приказа или с иной указанной в нем даты.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contextualSpacing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. Отчисление слушателей </w:t>
      </w:r>
    </w:p>
    <w:p>
      <w:pPr>
        <w:pStyle w:val="Normal"/>
        <w:widowControl w:val="false"/>
        <w:spacing w:before="0" w:after="200"/>
        <w:ind w:firstLine="56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  <w:lang w:val="en-US"/>
        </w:rPr>
        <w:t xml:space="preserve">Образовательные отношения между </w:t>
      </w:r>
      <w:r>
        <w:rPr>
          <w:rFonts w:ascii="Times New Roman" w:hAnsi="Times New Roman"/>
          <w:sz w:val="28"/>
          <w:szCs w:val="28"/>
        </w:rPr>
        <w:t>Центром</w:t>
      </w:r>
      <w:r>
        <w:rPr>
          <w:rFonts w:ascii="Times New Roman" w:hAnsi="Times New Roman"/>
          <w:sz w:val="28"/>
          <w:szCs w:val="28"/>
          <w:lang w:val="en-US"/>
        </w:rPr>
        <w:t xml:space="preserve"> и слушателем прекращаются в связи с отчислением слушателя из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hAnsi="Times New Roman"/>
          <w:sz w:val="28"/>
          <w:szCs w:val="28"/>
          <w:lang w:val="en-US"/>
        </w:rPr>
        <w:t xml:space="preserve"> в следующих случаях: </w:t>
      </w:r>
    </w:p>
    <w:p>
      <w:pPr>
        <w:pStyle w:val="Normal"/>
        <w:widowControl w:val="false"/>
        <w:spacing w:before="0" w:after="200"/>
        <w:ind w:firstLine="56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в связи с завершением обучения;</w:t>
      </w:r>
    </w:p>
    <w:p>
      <w:pPr>
        <w:pStyle w:val="Normal"/>
        <w:widowControl w:val="false"/>
        <w:tabs>
          <w:tab w:val="left" w:pos="220" w:leader="none"/>
          <w:tab w:val="left" w:pos="720" w:leader="none"/>
        </w:tabs>
        <w:spacing w:before="0" w:after="200"/>
        <w:ind w:firstLine="56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по инициативе (собственному желанию) слушателя или требованию юридического лица, направившего слушателя на обучение, оформленных соответствующим образом (личное заявление слушателя, письмо юридического лица);</w:t>
      </w:r>
    </w:p>
    <w:p>
      <w:pPr>
        <w:pStyle w:val="Normal"/>
        <w:widowControl w:val="false"/>
        <w:tabs>
          <w:tab w:val="left" w:pos="220" w:leader="none"/>
          <w:tab w:val="left" w:pos="720" w:leader="none"/>
        </w:tabs>
        <w:spacing w:before="0" w:after="20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по инициативе администрации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hAnsi="Times New Roman"/>
          <w:sz w:val="28"/>
          <w:szCs w:val="28"/>
          <w:lang w:val="en-US"/>
        </w:rPr>
        <w:t xml:space="preserve"> в связи: невыполнением слушателем обязанностей по добросовествому освоению дополнительной профессиональной программы и учебного плана; с получением отрицательного результата при итоговой аттестации слушателей (на основании решения аттестационной комиссии); нарушением положений Устава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hAnsi="Times New Roman"/>
          <w:sz w:val="28"/>
          <w:szCs w:val="28"/>
          <w:lang w:val="en-US"/>
        </w:rPr>
        <w:t xml:space="preserve">, Правил внутреннего распорядка для слушателей и других локальных актов, регулирующих релизацию дополнительной профессиональной программы в </w:t>
      </w:r>
      <w:r>
        <w:rPr>
          <w:rFonts w:ascii="Times New Roman" w:hAnsi="Times New Roman"/>
          <w:sz w:val="28"/>
          <w:szCs w:val="28"/>
        </w:rPr>
        <w:t>Центре</w:t>
      </w:r>
      <w:r>
        <w:rPr>
          <w:rFonts w:ascii="Times New Roman" w:hAnsi="Times New Roman"/>
          <w:sz w:val="28"/>
          <w:szCs w:val="28"/>
          <w:lang w:val="en-US"/>
        </w:rPr>
        <w:t xml:space="preserve">; с совершением административного правонарушения; с невыполнением условий заключенного договора </w:t>
      </w:r>
      <w:r>
        <w:rPr>
          <w:rFonts w:ascii="Times New Roman" w:hAnsi="Times New Roman"/>
          <w:sz w:val="28"/>
          <w:szCs w:val="28"/>
        </w:rPr>
        <w:t>об оказании платных образовательных услуг;</w:t>
      </w:r>
    </w:p>
    <w:p>
      <w:pPr>
        <w:pStyle w:val="Normal"/>
        <w:widowControl w:val="false"/>
        <w:tabs>
          <w:tab w:val="left" w:pos="220" w:leader="none"/>
          <w:tab w:val="left" w:pos="720" w:leader="none"/>
        </w:tabs>
        <w:spacing w:before="0" w:after="200"/>
        <w:ind w:firstLine="567"/>
        <w:contextualSpacing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по обстоятельствам, не зависящим от воли слушателя и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hAnsi="Times New Roman"/>
          <w:sz w:val="28"/>
          <w:szCs w:val="28"/>
          <w:lang w:val="en-US"/>
        </w:rPr>
        <w:t xml:space="preserve">, в том числе в случае ликвидации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</w:p>
    <w:p>
      <w:pPr>
        <w:pStyle w:val="Normal"/>
        <w:widowControl w:val="false"/>
        <w:spacing w:before="0" w:after="200"/>
        <w:ind w:firstLine="56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3.2. Досрочное прекращение образовательных отношений по инициативе слушателя возможно только при возмещении слушателем или юридическим лицом, направившем слушателя на обучение, фактически понесенных Центром расходов по предоставленной программе обучения.</w:t>
      </w:r>
    </w:p>
    <w:p>
      <w:pPr>
        <w:pStyle w:val="Normal"/>
        <w:widowControl w:val="false"/>
        <w:spacing w:before="0" w:after="200"/>
        <w:ind w:firstLine="56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3.3. Основанием для прекращения образовательных отношений является приказ директора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hAnsi="Times New Roman"/>
          <w:sz w:val="28"/>
          <w:szCs w:val="28"/>
          <w:lang w:val="en-US"/>
        </w:rPr>
        <w:t xml:space="preserve"> об отчислении слушателей из Центра. При досрочном прекращении образовательных отношений договор </w:t>
      </w:r>
      <w:r>
        <w:rPr>
          <w:rFonts w:ascii="Times New Roman" w:hAnsi="Times New Roman"/>
          <w:sz w:val="28"/>
          <w:szCs w:val="28"/>
        </w:rPr>
        <w:t xml:space="preserve">об оказании </w:t>
      </w:r>
      <w:r>
        <w:rPr>
          <w:rFonts w:ascii="Times New Roman" w:hAnsi="Times New Roman"/>
          <w:sz w:val="28"/>
          <w:szCs w:val="28"/>
          <w:lang w:val="en-US"/>
        </w:rPr>
        <w:t xml:space="preserve">платных образовательных услуг расторгается на основании приказа директора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hAnsi="Times New Roman"/>
          <w:sz w:val="28"/>
          <w:szCs w:val="28"/>
          <w:lang w:val="en-US"/>
        </w:rPr>
        <w:t xml:space="preserve"> об отчислении слушателей из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>
      <w:pPr>
        <w:pStyle w:val="Normal"/>
        <w:widowControl w:val="false"/>
        <w:spacing w:before="0" w:after="200"/>
        <w:ind w:firstLine="56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3.4. Права и обязанности слушателей, предусмотренные законодательством об образовании </w:t>
      </w:r>
      <w:r>
        <w:rPr>
          <w:rFonts w:ascii="Times New Roman" w:hAnsi="Times New Roman"/>
          <w:iCs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  <w:lang w:val="en-US"/>
        </w:rPr>
        <w:t xml:space="preserve"> и локальными актами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hAnsi="Times New Roman"/>
          <w:sz w:val="28"/>
          <w:szCs w:val="28"/>
          <w:lang w:val="en-US"/>
        </w:rPr>
        <w:t xml:space="preserve">, прекращаются с даты его отчисления из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</w:p>
    <w:p>
      <w:pPr>
        <w:pStyle w:val="Normal"/>
        <w:widowControl w:val="false"/>
        <w:spacing w:before="0" w:after="200"/>
        <w:ind w:firstLine="56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3.5. При досрочном прекращении образовательных отношений между </w:t>
      </w:r>
      <w:r>
        <w:rPr>
          <w:rFonts w:ascii="Times New Roman" w:hAnsi="Times New Roman"/>
          <w:sz w:val="28"/>
          <w:szCs w:val="28"/>
        </w:rPr>
        <w:t xml:space="preserve">Центром и </w:t>
      </w:r>
      <w:r>
        <w:rPr>
          <w:rFonts w:ascii="Times New Roman" w:hAnsi="Times New Roman"/>
          <w:sz w:val="28"/>
          <w:szCs w:val="28"/>
          <w:lang w:val="en-US"/>
        </w:rPr>
        <w:t xml:space="preserve">слушателем или юридическим лицом, направившем слушателя на обучение, по инициативе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  <w:lang w:val="en-US"/>
        </w:rPr>
        <w:t xml:space="preserve"> уведомляет об этом в письменной форме слушателя или юридическое лицо, направившее слушателя на обучение. </w:t>
      </w:r>
    </w:p>
    <w:p>
      <w:pPr>
        <w:pStyle w:val="Normal"/>
        <w:widowControl w:val="false"/>
        <w:spacing w:before="0" w:after="200"/>
        <w:ind w:firstLine="56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3.6. По истечении срока, установленного в уведомлении и не устранения фактических обстоятельств, являющихся основанием для прекращения образовательных отношений, издается приказ об отчислении слушателя с приложением документов, в том числе, подтверждающих уведомление слушателя или юридического лица, направившего слушателя на обучение, о предстоящем отчислении из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hAnsi="Times New Roman"/>
          <w:sz w:val="28"/>
          <w:szCs w:val="28"/>
          <w:lang w:val="en-US"/>
        </w:rPr>
        <w:t xml:space="preserve">. Копия приказа об отчислении направляется слушателю или лицу, направившему слушателя на обучение, по известному (последнему по времени) фактическому (домашнему) адресу проживания/месту нахождения юридического лица, содержащемся в личном деле слушателя. 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200"/>
        <w:ind w:firstLine="567"/>
        <w:contextualSpacing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Восстановление слушателей 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Восстановление лица, желающего продолжить обучение, может быть осуществлено при наличии мест в период формирования группы для обучения по соответствующей образовательной программе.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Восстановление слушателей в Центре осуществляется: 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личному заявлению слушателя;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обоснованному ходатайству руководителя организации - юридического лица, направившего слушателя на обучение. 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Восстановление в Центре осуществляется на основании соответствующего приказа директора Центра либо лица его замещающего.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>
        <w:rPr>
          <w:rFonts w:ascii="Times New Roman" w:hAnsi="Times New Roman"/>
          <w:sz w:val="28"/>
          <w:szCs w:val="28"/>
          <w:lang w:val="en-US"/>
        </w:rPr>
        <w:t xml:space="preserve">Слушатель, отчисленный из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hAnsi="Times New Roman"/>
          <w:sz w:val="28"/>
          <w:szCs w:val="28"/>
          <w:lang w:val="en-US"/>
        </w:rPr>
        <w:t xml:space="preserve"> и не освоивший дополнительную професиональную программу (программу повышения квалификации), имеет право в течение календарного года на восстановление для обучения в Центре при наличии личного заявления слушателя, желающего продолжить обучение, и заключении договора об оказании платных образовательных услуг с </w:t>
      </w:r>
      <w:r>
        <w:rPr>
          <w:rFonts w:ascii="Times New Roman" w:hAnsi="Times New Roman"/>
          <w:sz w:val="28"/>
          <w:szCs w:val="28"/>
        </w:rPr>
        <w:t>Центром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200"/>
        <w:ind w:firstLine="567"/>
        <w:contextualSpacing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0" w:after="200"/>
        <w:contextualSpacing/>
        <w:rPr>
          <w:szCs w:val="28"/>
        </w:rPr>
      </w:pPr>
      <w:r>
        <w:rPr>
          <w:szCs w:val="28"/>
        </w:rPr>
      </w:r>
    </w:p>
    <w:p>
      <w:pPr>
        <w:pStyle w:val="Normal"/>
        <w:spacing w:before="0" w:after="200"/>
        <w:contextualSpacing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imes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7d64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Lucida Sans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ucida Sans"/>
    </w:rPr>
  </w:style>
  <w:style w:type="paragraph" w:styleId="21" w:customStyle="1">
    <w:name w:val="Основной текст 21"/>
    <w:basedOn w:val="Normal"/>
    <w:qFormat/>
    <w:rsid w:val="0002328c"/>
    <w:pPr>
      <w:widowControl w:val="false"/>
      <w:spacing w:lineRule="auto" w:line="360" w:before="0" w:after="0"/>
      <w:ind w:firstLine="720"/>
      <w:jc w:val="both"/>
    </w:pPr>
    <w:rPr>
      <w:rFonts w:ascii="Times New Roman" w:hAnsi="Times New Roman" w:eastAsia="Times New Roman"/>
      <w:sz w:val="24"/>
      <w:szCs w:val="20"/>
      <w:lang w:eastAsia="ru-RU"/>
    </w:rPr>
  </w:style>
  <w:style w:type="paragraph" w:styleId="Iauiue" w:customStyle="1">
    <w:name w:val="Iau?iue"/>
    <w:qFormat/>
    <w:rsid w:val="0002328c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39471d"/>
    <w:pPr>
      <w:spacing w:lineRule="auto" w:line="240" w:beforeAutospacing="1" w:afterAutospacing="1"/>
    </w:pPr>
    <w:rPr>
      <w:rFonts w:ascii="Times" w:hAnsi="Times" w:eastAsia="ＭＳ 明朝" w:eastAsiaTheme="minorEastAsia"/>
      <w:sz w:val="20"/>
      <w:szCs w:val="20"/>
      <w:lang w:eastAsia="ru-RU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Application>LibreOffice/5.0.2.2$MacOSX_X86_64 LibreOffice_project/37b43f919e4de5eeaca9b9755ed688758a8251fe</Application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2020-01-24T03:14:00Z</dcterms:created>
  <dc:creator>user</dc:creator>
  <dc:language>ru-RU</dc:language>
  <cp:lastPrinted>2020-02-23T04:42:00Z</cp:lastPrinted>
  <dcterms:modified xsi:type="dcterms:W3CDTF">2020-02-23T14:05:09Z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